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BodytextAgency"/>
        <w:rPr>
          <w:lang w:val="fi-FI"/>
        </w:rPr>
      </w:pPr>
      <w:r>
        <w:rPr>
          <w:b/>
          <w:lang w:val="fi-FI"/>
        </w:rPr>
        <w:t>Lääketurvatiedote terveydenhuollon ammattilaisille</w:t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position w:val="1"/>
          <w:lang w:val="fi-FI"/>
        </w:rPr>
        <w:t>19.1.2018</w:t>
      </w:r>
    </w:p>
    <w:p>
      <w:pPr>
        <w:autoSpaceDE w:val="0"/>
        <w:autoSpaceDN w:val="0"/>
        <w:adjustRightInd w:val="0"/>
        <w:spacing w:before="47" w:line="280" w:lineRule="atLeast"/>
        <w:ind w:right="316"/>
        <w:rPr>
          <w:b/>
          <w:lang w:val="fi-FI"/>
        </w:rPr>
      </w:pPr>
    </w:p>
    <w:p>
      <w:pPr>
        <w:autoSpaceDE w:val="0"/>
        <w:autoSpaceDN w:val="0"/>
        <w:adjustRightInd w:val="0"/>
        <w:spacing w:before="47" w:line="280" w:lineRule="atLeast"/>
        <w:ind w:right="316"/>
        <w:rPr>
          <w:rFonts w:cs="Calibri"/>
          <w:b/>
          <w:lang w:val="fi-FI" w:eastAsia="de-DE"/>
        </w:rPr>
      </w:pPr>
      <w:proofErr w:type="spellStart"/>
      <w:r>
        <w:rPr>
          <w:b/>
          <w:lang w:val="fi-FI"/>
        </w:rPr>
        <w:t>Mykofenolaattimofetiili/mykofenolihappo</w:t>
      </w:r>
      <w:proofErr w:type="spellEnd"/>
      <w:r>
        <w:rPr>
          <w:b/>
          <w:lang w:val="fi-FI"/>
        </w:rPr>
        <w:t>: Muutoksia raskauden ehkäisyä koskeviin suosituksiin</w:t>
      </w:r>
    </w:p>
    <w:p>
      <w:pPr>
        <w:autoSpaceDE w:val="0"/>
        <w:autoSpaceDN w:val="0"/>
        <w:adjustRightInd w:val="0"/>
        <w:spacing w:before="3" w:line="280" w:lineRule="atLeast"/>
        <w:rPr>
          <w:rFonts w:cs="Calibri"/>
          <w:lang w:val="fi-FI" w:eastAsia="de-DE"/>
        </w:rPr>
      </w:pPr>
    </w:p>
    <w:p>
      <w:pPr>
        <w:pStyle w:val="BodytextAgency"/>
        <w:spacing w:line="240" w:lineRule="auto"/>
        <w:rPr>
          <w:lang w:val="fi-FI"/>
        </w:rPr>
      </w:pPr>
      <w:r>
        <w:rPr>
          <w:lang w:val="fi-FI"/>
        </w:rPr>
        <w:t>Hyvä terveydenhuollon ammattilainen</w:t>
      </w:r>
    </w:p>
    <w:p>
      <w:pPr>
        <w:pStyle w:val="BodytextAgency"/>
        <w:spacing w:line="240" w:lineRule="auto"/>
        <w:rPr>
          <w:lang w:val="fi-FI"/>
        </w:rPr>
      </w:pPr>
      <w:r>
        <w:rPr>
          <w:lang w:val="fi-FI"/>
        </w:rPr>
        <w:t xml:space="preserve">Kaikkien </w:t>
      </w:r>
      <w:proofErr w:type="spellStart"/>
      <w:r>
        <w:rPr>
          <w:lang w:val="fi-FI"/>
        </w:rPr>
        <w:t>mykofenolaattimofetiilia</w:t>
      </w:r>
      <w:proofErr w:type="spellEnd"/>
      <w:r>
        <w:rPr>
          <w:lang w:val="fi-FI"/>
        </w:rPr>
        <w:t xml:space="preserve"> tai </w:t>
      </w:r>
      <w:proofErr w:type="spellStart"/>
      <w:r>
        <w:rPr>
          <w:lang w:val="fi-FI"/>
        </w:rPr>
        <w:t>mykofenolihappoa</w:t>
      </w:r>
      <w:proofErr w:type="spellEnd"/>
      <w:r>
        <w:rPr>
          <w:lang w:val="fi-FI"/>
        </w:rPr>
        <w:t xml:space="preserve"> sisältävien valmisteiden myyntilupien haltijat tiedottavat muutoksista raskauden ehkäisyä koskeviin suosituksiin, jotka liittyvät seuraavien lääkevalmisteiden käyttöön:</w:t>
      </w:r>
      <w:r>
        <w:rPr>
          <w:rFonts w:cs="Calibri"/>
          <w:b/>
          <w:bCs/>
          <w:lang w:val="fi-FI" w:eastAsia="de-DE"/>
        </w:rPr>
        <w:t xml:space="preserve"> </w:t>
      </w:r>
      <w:proofErr w:type="spellStart"/>
      <w:r>
        <w:rPr>
          <w:rFonts w:cs="Calibri"/>
          <w:b/>
          <w:bCs/>
          <w:lang w:val="fi-FI" w:eastAsia="de-DE"/>
        </w:rPr>
        <w:t>mykofenolaattimofetiili</w:t>
      </w:r>
      <w:proofErr w:type="spellEnd"/>
      <w:r>
        <w:rPr>
          <w:rFonts w:cs="Calibri"/>
          <w:b/>
          <w:bCs/>
          <w:lang w:val="fi-FI" w:eastAsia="de-DE"/>
        </w:rPr>
        <w:t xml:space="preserve"> ja </w:t>
      </w:r>
      <w:proofErr w:type="spellStart"/>
      <w:r>
        <w:rPr>
          <w:rFonts w:cs="Calibri"/>
          <w:b/>
          <w:bCs/>
          <w:lang w:val="fi-FI" w:eastAsia="de-DE"/>
        </w:rPr>
        <w:t>mykofenolihappo</w:t>
      </w:r>
      <w:proofErr w:type="spellEnd"/>
      <w:r>
        <w:rPr>
          <w:lang w:val="fi-FI"/>
        </w:rPr>
        <w:t xml:space="preserve">. Euroopan lääkevirasto ja Lääkealan turvallisuus- ja kehittämiskeskus </w:t>
      </w:r>
      <w:proofErr w:type="spellStart"/>
      <w:r>
        <w:rPr>
          <w:lang w:val="fi-FI"/>
        </w:rPr>
        <w:t>Fimea</w:t>
      </w:r>
      <w:proofErr w:type="spellEnd"/>
      <w:r>
        <w:rPr>
          <w:lang w:val="fi-FI"/>
        </w:rPr>
        <w:t xml:space="preserve"> ovat hyväksyneet tämän tiedotteen sisällön. </w:t>
      </w:r>
    </w:p>
    <w:p>
      <w:pPr>
        <w:pStyle w:val="BodytextAgency"/>
        <w:spacing w:line="240" w:lineRule="auto"/>
        <w:rPr>
          <w:b/>
          <w:w w:val="101"/>
          <w:lang w:val="fi-FI"/>
        </w:rPr>
      </w:pPr>
    </w:p>
    <w:p>
      <w:pPr>
        <w:pStyle w:val="BodytextAgency"/>
        <w:spacing w:line="240" w:lineRule="auto"/>
        <w:rPr>
          <w:lang w:val="fi-FI"/>
        </w:rPr>
      </w:pPr>
      <w:r>
        <w:rPr>
          <w:b/>
          <w:w w:val="101"/>
          <w:lang w:val="fi-FI"/>
        </w:rPr>
        <w:t xml:space="preserve">Tiivistelmä </w:t>
      </w:r>
    </w:p>
    <w:p>
      <w:pPr>
        <w:pStyle w:val="BodytextAgency"/>
        <w:numPr>
          <w:ilvl w:val="0"/>
          <w:numId w:val="3"/>
        </w:numPr>
        <w:spacing w:line="240" w:lineRule="auto"/>
        <w:rPr>
          <w:lang w:val="fi-FI"/>
        </w:rPr>
      </w:pPr>
      <w:r>
        <w:rPr>
          <w:lang w:val="fi-FI"/>
        </w:rPr>
        <w:t xml:space="preserve">Saatavissa oleva kliininen näyttö ei viittaa siihen, että epämuodostumien ja keskenmenojen riski olisi tavanomaista suurempi, jos isä on käyttänyt </w:t>
      </w:r>
      <w:proofErr w:type="spellStart"/>
      <w:r>
        <w:rPr>
          <w:lang w:val="fi-FI"/>
        </w:rPr>
        <w:t>mykofenolaattilääkkeitä</w:t>
      </w:r>
      <w:proofErr w:type="spellEnd"/>
      <w:r>
        <w:rPr>
          <w:lang w:val="fi-FI"/>
        </w:rPr>
        <w:t xml:space="preserve">. </w:t>
      </w:r>
      <w:proofErr w:type="spellStart"/>
      <w:r>
        <w:rPr>
          <w:lang w:val="fi-FI"/>
        </w:rPr>
        <w:t>Mykofenolaattimofetiili</w:t>
      </w:r>
      <w:proofErr w:type="spellEnd"/>
      <w:r>
        <w:rPr>
          <w:lang w:val="fi-FI"/>
        </w:rPr>
        <w:t xml:space="preserve"> ja </w:t>
      </w:r>
      <w:proofErr w:type="spellStart"/>
      <w:r>
        <w:rPr>
          <w:lang w:val="fi-FI"/>
        </w:rPr>
        <w:t>mykofenolihappo</w:t>
      </w:r>
      <w:proofErr w:type="spellEnd"/>
      <w:r>
        <w:rPr>
          <w:lang w:val="fi-FI"/>
        </w:rPr>
        <w:t xml:space="preserve"> ovat kuitenkin </w:t>
      </w:r>
      <w:proofErr w:type="spellStart"/>
      <w:r>
        <w:rPr>
          <w:lang w:val="fi-FI"/>
        </w:rPr>
        <w:t>genotoksisia</w:t>
      </w:r>
      <w:proofErr w:type="spellEnd"/>
      <w:r>
        <w:rPr>
          <w:lang w:val="fi-FI"/>
        </w:rPr>
        <w:t xml:space="preserve"> eikä riskiä voida täysin sulkea pois.</w:t>
      </w:r>
    </w:p>
    <w:p>
      <w:pPr>
        <w:numPr>
          <w:ilvl w:val="0"/>
          <w:numId w:val="3"/>
        </w:numPr>
        <w:spacing w:after="140"/>
        <w:rPr>
          <w:rFonts w:eastAsia="Verdana"/>
          <w:lang w:val="fi-FI" w:eastAsia="en-GB"/>
        </w:rPr>
      </w:pPr>
      <w:r>
        <w:rPr>
          <w:rFonts w:eastAsia="Verdana"/>
          <w:lang w:val="fi-FI" w:eastAsia="en-GB"/>
        </w:rPr>
        <w:t>Miespotilaita hoidettaessa suositellaan, että</w:t>
      </w:r>
      <w:r>
        <w:rPr>
          <w:rFonts w:eastAsia="Verdana"/>
          <w:b/>
          <w:lang w:val="fi-FI" w:eastAsia="en-GB"/>
        </w:rPr>
        <w:t xml:space="preserve"> potilas tai hänen naiskumppaninsa </w:t>
      </w:r>
      <w:r>
        <w:rPr>
          <w:rFonts w:eastAsia="Verdana"/>
          <w:lang w:val="fi-FI" w:eastAsia="en-GB"/>
        </w:rPr>
        <w:t>käyttää luotettavaa ehkäisyä hoidon aikana ja vähintään 90 päivän ajan hoidon päättymisen jälkeen.</w:t>
      </w:r>
    </w:p>
    <w:p>
      <w:pPr>
        <w:numPr>
          <w:ilvl w:val="0"/>
          <w:numId w:val="3"/>
        </w:numPr>
        <w:spacing w:after="140"/>
        <w:rPr>
          <w:rFonts w:eastAsia="Verdana"/>
          <w:lang w:val="fi-FI" w:eastAsia="en-GB"/>
        </w:rPr>
      </w:pPr>
      <w:r>
        <w:rPr>
          <w:rFonts w:eastAsia="Verdana"/>
          <w:lang w:val="fi-FI" w:eastAsia="en-GB"/>
        </w:rPr>
        <w:t xml:space="preserve">Naisia koskeva riski ei ole muuttunut. </w:t>
      </w:r>
      <w:proofErr w:type="spellStart"/>
      <w:r>
        <w:rPr>
          <w:rFonts w:eastAsia="Verdana"/>
          <w:lang w:val="fi-FI" w:eastAsia="en-GB"/>
        </w:rPr>
        <w:t>Mykofenolaattilääkkeet</w:t>
      </w:r>
      <w:proofErr w:type="spellEnd"/>
      <w:r>
        <w:rPr>
          <w:rFonts w:eastAsia="Verdana"/>
          <w:lang w:val="fi-FI" w:eastAsia="en-GB"/>
        </w:rPr>
        <w:t xml:space="preserve"> ovat edelleen vasta-aiheisia naisille, jotka voivat tulla raskaaksi eivätkä käytä luotettavaa ehkäisyä. Nämä lääkkeet ovat vasta-aiheisia myös raskaana oleville naisille, paitsi jos siirteen hylkimisreaktion estoon ei ole muuta sopivaa vaihtoehtoista hoitoa.</w:t>
      </w:r>
    </w:p>
    <w:p>
      <w:pPr>
        <w:numPr>
          <w:ilvl w:val="0"/>
          <w:numId w:val="3"/>
        </w:numPr>
        <w:spacing w:after="140"/>
        <w:rPr>
          <w:rFonts w:eastAsia="Verdana"/>
          <w:lang w:val="fi-FI" w:eastAsia="en-GB"/>
        </w:rPr>
      </w:pPr>
      <w:r>
        <w:rPr>
          <w:rFonts w:eastAsia="Verdana"/>
          <w:lang w:val="fi-FI" w:eastAsia="en-GB"/>
        </w:rPr>
        <w:t xml:space="preserve">Naisten, jotka voivat tulla raskaaksi, on käytettävä </w:t>
      </w:r>
      <w:r>
        <w:rPr>
          <w:rFonts w:eastAsia="Verdana"/>
          <w:b/>
          <w:lang w:val="fi-FI" w:eastAsia="en-GB"/>
        </w:rPr>
        <w:t>vähintään yhtä luotettavaa ehkäisymenetelmää</w:t>
      </w:r>
      <w:r>
        <w:rPr>
          <w:rFonts w:eastAsia="Verdana"/>
          <w:lang w:val="fi-FI" w:eastAsia="en-GB"/>
        </w:rPr>
        <w:t xml:space="preserve"> ennen hoitoa, hoidon aikana ja 6 viikon ajan hoidon päättymisen jälkeen. Kahden ehkäisymenetelmän käyttö on suositeltavaa, mutta ei pakollista.</w:t>
      </w:r>
    </w:p>
    <w:p>
      <w:pPr>
        <w:pStyle w:val="BodytextAgency"/>
        <w:spacing w:line="240" w:lineRule="auto"/>
        <w:rPr>
          <w:b/>
          <w:lang w:val="fi-FI"/>
        </w:rPr>
      </w:pPr>
    </w:p>
    <w:p>
      <w:pPr>
        <w:pStyle w:val="BodytextAgency"/>
        <w:spacing w:line="240" w:lineRule="auto"/>
        <w:rPr>
          <w:b/>
          <w:lang w:val="fi-FI"/>
        </w:rPr>
      </w:pPr>
      <w:r>
        <w:rPr>
          <w:b/>
          <w:lang w:val="fi-FI"/>
        </w:rPr>
        <w:t>Turvallisuustietojen tausta</w:t>
      </w:r>
    </w:p>
    <w:p>
      <w:pPr>
        <w:spacing w:after="140"/>
        <w:rPr>
          <w:rFonts w:eastAsia="Verdana"/>
          <w:lang w:val="fi-FI" w:eastAsia="en-GB"/>
        </w:rPr>
      </w:pPr>
      <w:proofErr w:type="spellStart"/>
      <w:r>
        <w:rPr>
          <w:rFonts w:eastAsia="Verdana"/>
          <w:lang w:val="fi-FI" w:eastAsia="en-GB"/>
        </w:rPr>
        <w:t>Mykofenolaattia</w:t>
      </w:r>
      <w:proofErr w:type="spellEnd"/>
      <w:r>
        <w:rPr>
          <w:rFonts w:eastAsia="Verdana"/>
          <w:lang w:val="fi-FI" w:eastAsia="en-GB"/>
        </w:rPr>
        <w:t xml:space="preserve"> käytetään siirteen hylkimisreaktion estoon. Se on ihmisellä hyvin teratogeeninen, ja raskauden aikaisen käytön tiedetään aiheuttavan keskenmenoja ja synnynnäisiä epämuodostumia. Raskauden aikainen </w:t>
      </w:r>
      <w:proofErr w:type="spellStart"/>
      <w:r>
        <w:rPr>
          <w:rFonts w:eastAsia="Verdana"/>
          <w:lang w:val="fi-FI" w:eastAsia="en-GB"/>
        </w:rPr>
        <w:t>mykofenolaattialtistus</w:t>
      </w:r>
      <w:proofErr w:type="spellEnd"/>
      <w:r>
        <w:rPr>
          <w:rFonts w:eastAsia="Verdana"/>
          <w:lang w:val="fi-FI" w:eastAsia="en-GB"/>
        </w:rPr>
        <w:t xml:space="preserve"> aiheuttaa keskenmenon 45–49 %:ssa altistuneista raskauksista ja epämuodostumia 23–27 %:ssa altistuneista raskauksista.</w:t>
      </w:r>
    </w:p>
    <w:p>
      <w:pPr>
        <w:spacing w:after="140"/>
        <w:rPr>
          <w:rFonts w:eastAsia="Verdana"/>
          <w:lang w:val="fi-FI" w:eastAsia="en-GB"/>
        </w:rPr>
      </w:pPr>
      <w:proofErr w:type="spellStart"/>
      <w:r>
        <w:rPr>
          <w:rFonts w:eastAsia="Verdana"/>
          <w:lang w:val="fi-FI" w:eastAsia="en-GB"/>
        </w:rPr>
        <w:t>Mykofenolaattilääkkeet</w:t>
      </w:r>
      <w:proofErr w:type="spellEnd"/>
      <w:r>
        <w:rPr>
          <w:rFonts w:eastAsia="Verdana"/>
          <w:lang w:val="fi-FI" w:eastAsia="en-GB"/>
        </w:rPr>
        <w:t xml:space="preserve">, sekä </w:t>
      </w:r>
      <w:proofErr w:type="spellStart"/>
      <w:r>
        <w:rPr>
          <w:rFonts w:eastAsia="Verdana"/>
          <w:lang w:val="fi-FI" w:eastAsia="en-GB"/>
        </w:rPr>
        <w:t>mykofenolaattimofetiili</w:t>
      </w:r>
      <w:proofErr w:type="spellEnd"/>
      <w:r>
        <w:rPr>
          <w:rStyle w:val="FootnoteReference"/>
          <w:rFonts w:eastAsia="Verdana"/>
          <w:lang w:val="fi-FI" w:eastAsia="en-GB"/>
        </w:rPr>
        <w:footnoteReference w:id="2"/>
      </w:r>
      <w:r>
        <w:rPr>
          <w:lang w:val="fi-FI"/>
        </w:rPr>
        <w:t xml:space="preserve"> että </w:t>
      </w:r>
      <w:proofErr w:type="spellStart"/>
      <w:r>
        <w:rPr>
          <w:lang w:val="fi-FI"/>
        </w:rPr>
        <w:t>mykofenolihappo</w:t>
      </w:r>
      <w:proofErr w:type="spellEnd"/>
      <w:r>
        <w:rPr>
          <w:lang w:val="fi-FI"/>
        </w:rPr>
        <w:t>, ovat sen vuoksi vasta-aiheisia naisille, jotka voivat tulla raskaaksi eivätkä käytä tehokasta ehkäisyä</w:t>
      </w:r>
      <w:r>
        <w:rPr>
          <w:rFonts w:eastAsia="Verdana"/>
          <w:lang w:val="fi-FI" w:eastAsia="en-GB"/>
        </w:rPr>
        <w:t xml:space="preserve">. </w:t>
      </w:r>
      <w:proofErr w:type="spellStart"/>
      <w:r>
        <w:rPr>
          <w:rFonts w:eastAsia="Verdana"/>
          <w:lang w:val="fi-FI" w:eastAsia="en-GB"/>
        </w:rPr>
        <w:t>Mykofenolaatti</w:t>
      </w:r>
      <w:proofErr w:type="spellEnd"/>
      <w:r>
        <w:rPr>
          <w:rFonts w:eastAsia="Verdana"/>
          <w:lang w:val="fi-FI" w:eastAsia="en-GB"/>
        </w:rPr>
        <w:t xml:space="preserve"> on vasta-aiheista myös raskaana oleville naisille, paitsi jos siirteen hylkimisreaktion estoon ei ole muuta sopivaa vaihtoehtoista hoitoa. Ennen hoidon aloittamista edellytetään lisäksi negatiivinen raskaustestitulos (kuten näiden lääkkeiden tuotetiedoissa mainitaan).</w:t>
      </w:r>
    </w:p>
    <w:p>
      <w:pPr>
        <w:spacing w:after="140"/>
        <w:rPr>
          <w:rFonts w:eastAsia="Verdana"/>
          <w:lang w:val="fi-FI" w:eastAsia="en-GB"/>
        </w:rPr>
      </w:pPr>
      <w:r>
        <w:rPr>
          <w:color w:val="000000"/>
          <w:lang w:val="fi-FI"/>
        </w:rPr>
        <w:t xml:space="preserve">Euroopan lääkevirasto (EMA) on äskettäin tarkastellut kattavasti </w:t>
      </w:r>
      <w:proofErr w:type="spellStart"/>
      <w:r>
        <w:rPr>
          <w:color w:val="000000"/>
          <w:lang w:val="fi-FI"/>
        </w:rPr>
        <w:t>mykofenolaattimofetiili-</w:t>
      </w:r>
      <w:proofErr w:type="spellEnd"/>
      <w:r>
        <w:rPr>
          <w:color w:val="000000"/>
          <w:lang w:val="fi-FI"/>
        </w:rPr>
        <w:t xml:space="preserve"> ja </w:t>
      </w:r>
      <w:proofErr w:type="spellStart"/>
      <w:r>
        <w:rPr>
          <w:color w:val="000000"/>
          <w:lang w:val="fi-FI"/>
        </w:rPr>
        <w:t>mykofenolihappohoidon</w:t>
      </w:r>
      <w:proofErr w:type="spellEnd"/>
      <w:r>
        <w:rPr>
          <w:color w:val="000000"/>
          <w:lang w:val="fi-FI"/>
        </w:rPr>
        <w:t xml:space="preserve"> aikana lapsia siittäneitä miehiä koskevia </w:t>
      </w:r>
      <w:proofErr w:type="spellStart"/>
      <w:r>
        <w:rPr>
          <w:color w:val="000000"/>
          <w:lang w:val="fi-FI"/>
        </w:rPr>
        <w:t>prekliinisiä</w:t>
      </w:r>
      <w:proofErr w:type="spellEnd"/>
      <w:r>
        <w:rPr>
          <w:color w:val="000000"/>
          <w:lang w:val="fi-FI"/>
        </w:rPr>
        <w:t xml:space="preserve"> ja kliinisiä tietoja. Tämän tarkastelun perusteella Euroopan lääkevirasto on päivittänyt vuonna 2015 antamiaan suosituksia raskauden ehkäisystä </w:t>
      </w:r>
      <w:proofErr w:type="spellStart"/>
      <w:r>
        <w:rPr>
          <w:color w:val="000000"/>
          <w:lang w:val="fi-FI"/>
        </w:rPr>
        <w:t>mykofenolaattimofetiili-</w:t>
      </w:r>
      <w:proofErr w:type="spellEnd"/>
      <w:r>
        <w:rPr>
          <w:color w:val="000000"/>
          <w:lang w:val="fi-FI"/>
        </w:rPr>
        <w:t xml:space="preserve"> ja </w:t>
      </w:r>
      <w:proofErr w:type="spellStart"/>
      <w:r>
        <w:rPr>
          <w:color w:val="000000"/>
          <w:lang w:val="fi-FI"/>
        </w:rPr>
        <w:t>mykofenolihappohoidon</w:t>
      </w:r>
      <w:proofErr w:type="spellEnd"/>
      <w:r>
        <w:rPr>
          <w:color w:val="000000"/>
          <w:lang w:val="fi-FI"/>
        </w:rPr>
        <w:t xml:space="preserve"> yhteydessä</w:t>
      </w:r>
      <w:r>
        <w:rPr>
          <w:rFonts w:eastAsia="Verdana"/>
          <w:lang w:val="fi-FI" w:eastAsia="en-GB"/>
        </w:rPr>
        <w:t>.</w:t>
      </w:r>
    </w:p>
    <w:p>
      <w:pPr>
        <w:spacing w:after="140"/>
        <w:rPr>
          <w:rFonts w:eastAsia="Verdana"/>
          <w:lang w:val="fi-FI" w:eastAsia="en-GB"/>
        </w:rPr>
      </w:pPr>
      <w:r>
        <w:rPr>
          <w:rFonts w:eastAsia="Verdana"/>
          <w:lang w:val="fi-FI" w:eastAsia="en-GB"/>
        </w:rPr>
        <w:t xml:space="preserve">Siemennesteessä olevan </w:t>
      </w:r>
      <w:proofErr w:type="spellStart"/>
      <w:r>
        <w:rPr>
          <w:rFonts w:eastAsia="Verdana"/>
          <w:lang w:val="fi-FI" w:eastAsia="en-GB"/>
        </w:rPr>
        <w:t>mykofenolaatin</w:t>
      </w:r>
      <w:proofErr w:type="spellEnd"/>
      <w:r>
        <w:rPr>
          <w:rFonts w:eastAsia="Verdana"/>
          <w:lang w:val="fi-FI" w:eastAsia="en-GB"/>
        </w:rPr>
        <w:t xml:space="preserve"> määrää ei ole määritetty, mutta eläimistä saatujen tietojen perusteella tehdyt laskelmat osoittavat, että naiseen mahdollisesti siirtyvä </w:t>
      </w:r>
      <w:proofErr w:type="spellStart"/>
      <w:r>
        <w:rPr>
          <w:rFonts w:eastAsia="Verdana"/>
          <w:lang w:val="fi-FI" w:eastAsia="en-GB"/>
        </w:rPr>
        <w:t>mykofenolaatin</w:t>
      </w:r>
      <w:proofErr w:type="spellEnd"/>
      <w:r>
        <w:rPr>
          <w:rFonts w:eastAsia="Verdana"/>
          <w:lang w:val="fi-FI" w:eastAsia="en-GB"/>
        </w:rPr>
        <w:t xml:space="preserve"> maksimimäärä on pieni eikä sillä todennäköisesti ole minkäänlaista vaikutusta. </w:t>
      </w:r>
      <w:proofErr w:type="spellStart"/>
      <w:r>
        <w:rPr>
          <w:rFonts w:eastAsia="Verdana"/>
          <w:lang w:val="fi-FI" w:eastAsia="en-GB"/>
        </w:rPr>
        <w:t>Mykofenolaatista</w:t>
      </w:r>
      <w:proofErr w:type="spellEnd"/>
      <w:r>
        <w:rPr>
          <w:rFonts w:eastAsia="Verdana"/>
          <w:lang w:val="fi-FI" w:eastAsia="en-GB"/>
        </w:rPr>
        <w:t xml:space="preserve"> on kuitenkin eläinkokeissa osoitettu, että se on </w:t>
      </w:r>
      <w:proofErr w:type="spellStart"/>
      <w:r>
        <w:rPr>
          <w:rFonts w:eastAsia="Verdana"/>
          <w:lang w:val="fi-FI" w:eastAsia="en-GB"/>
        </w:rPr>
        <w:t>genotoksinen</w:t>
      </w:r>
      <w:proofErr w:type="spellEnd"/>
      <w:r>
        <w:rPr>
          <w:rFonts w:eastAsia="Verdana"/>
          <w:lang w:val="fi-FI" w:eastAsia="en-GB"/>
        </w:rPr>
        <w:t xml:space="preserve"> pitoisuuksina, jotka ovat ihmisen terapeuttisen altistuksen pitoisuuksia suurempia. Näin ollen siittiöihin kohdistuvien </w:t>
      </w:r>
      <w:proofErr w:type="spellStart"/>
      <w:r>
        <w:rPr>
          <w:rFonts w:eastAsia="Verdana"/>
          <w:lang w:val="fi-FI" w:eastAsia="en-GB"/>
        </w:rPr>
        <w:t>genotoksisten</w:t>
      </w:r>
      <w:proofErr w:type="spellEnd"/>
      <w:r>
        <w:rPr>
          <w:rFonts w:eastAsia="Verdana"/>
          <w:lang w:val="fi-FI" w:eastAsia="en-GB"/>
        </w:rPr>
        <w:t xml:space="preserve"> vaikutusten riskiä ei voida täysin sulkea pois.</w:t>
      </w:r>
    </w:p>
    <w:p>
      <w:pPr>
        <w:spacing w:after="140"/>
        <w:rPr>
          <w:rFonts w:eastAsia="Verdana"/>
          <w:lang w:val="fi-FI" w:eastAsia="en-GB"/>
        </w:rPr>
      </w:pPr>
      <w:r>
        <w:rPr>
          <w:rFonts w:eastAsia="Verdana"/>
          <w:lang w:val="fi-FI" w:eastAsia="en-GB"/>
        </w:rPr>
        <w:lastRenderedPageBreak/>
        <w:t xml:space="preserve">Euroopan lääkevirasto suosittelee nyt, että seksuaalisesti aktiivisten miespotilaiden tai heidän naiskumppaniensa pitää käyttää luotettavaa ehkäisyä hoidon aikana ja vähintään 90 päivän ajan </w:t>
      </w:r>
      <w:proofErr w:type="spellStart"/>
      <w:r>
        <w:rPr>
          <w:rFonts w:eastAsia="Verdana"/>
          <w:lang w:val="fi-FI" w:eastAsia="en-GB"/>
        </w:rPr>
        <w:t>mykofenolaattihoidon</w:t>
      </w:r>
      <w:proofErr w:type="spellEnd"/>
      <w:r>
        <w:rPr>
          <w:rFonts w:eastAsia="Verdana"/>
          <w:lang w:val="fi-FI" w:eastAsia="en-GB"/>
        </w:rPr>
        <w:t xml:space="preserve"> päättymisen jälkeen. </w:t>
      </w:r>
    </w:p>
    <w:p>
      <w:pPr>
        <w:spacing w:after="140"/>
        <w:rPr>
          <w:rFonts w:eastAsia="Verdana"/>
          <w:lang w:val="fi-FI" w:eastAsia="en-GB"/>
        </w:rPr>
      </w:pPr>
      <w:r>
        <w:rPr>
          <w:rFonts w:eastAsia="Verdana"/>
          <w:lang w:val="fi-FI" w:eastAsia="en-GB"/>
        </w:rPr>
        <w:t>Aiempi suositus oli, että miespotilaiden pitää käyttää kondomia naiskumppanin käyttämän erittäin tehokkaan ehkäisyn lisäksi. Tämä suositus on nyt poistettu tuotetiedoista, koska se ei kuvasta riskin suuruutta.</w:t>
      </w:r>
    </w:p>
    <w:p>
      <w:pPr>
        <w:spacing w:after="140"/>
        <w:rPr>
          <w:rFonts w:eastAsia="Verdana"/>
          <w:lang w:val="fi-FI" w:eastAsia="en-GB"/>
        </w:rPr>
      </w:pPr>
      <w:r>
        <w:rPr>
          <w:rFonts w:eastAsia="Verdana"/>
          <w:lang w:val="fi-FI" w:eastAsia="en-GB"/>
        </w:rPr>
        <w:t xml:space="preserve">Naisia koskevat riskit eivät ole muuttuneet. Naisten, jotka voivat tulla raskaaksi, on käytettävä </w:t>
      </w:r>
      <w:r>
        <w:rPr>
          <w:rFonts w:eastAsia="Verdana"/>
          <w:b/>
          <w:lang w:val="fi-FI" w:eastAsia="en-GB"/>
        </w:rPr>
        <w:t>vähintään yhtä luotettavaa ehkäisyä</w:t>
      </w:r>
      <w:r>
        <w:rPr>
          <w:rFonts w:eastAsia="Verdana"/>
          <w:lang w:val="fi-FI" w:eastAsia="en-GB"/>
        </w:rPr>
        <w:t xml:space="preserve"> ennen </w:t>
      </w:r>
      <w:proofErr w:type="spellStart"/>
      <w:r>
        <w:rPr>
          <w:rFonts w:eastAsia="Verdana"/>
          <w:lang w:val="fi-FI" w:eastAsia="en-GB"/>
        </w:rPr>
        <w:t>mykofenolaattihoidon</w:t>
      </w:r>
      <w:proofErr w:type="spellEnd"/>
      <w:r>
        <w:rPr>
          <w:rFonts w:eastAsia="Verdana"/>
          <w:lang w:val="fi-FI" w:eastAsia="en-GB"/>
        </w:rPr>
        <w:t xml:space="preserve"> aloittamista, hoidon aikana ja 6 viikon ajan </w:t>
      </w:r>
      <w:proofErr w:type="spellStart"/>
      <w:r>
        <w:rPr>
          <w:rFonts w:eastAsia="Verdana"/>
          <w:lang w:val="fi-FI" w:eastAsia="en-GB"/>
        </w:rPr>
        <w:t>mykofenolaattihoidon</w:t>
      </w:r>
      <w:proofErr w:type="spellEnd"/>
      <w:r>
        <w:rPr>
          <w:rFonts w:eastAsia="Verdana"/>
          <w:lang w:val="fi-FI" w:eastAsia="en-GB"/>
        </w:rPr>
        <w:t xml:space="preserve"> päättymisen jälkeen, paitsi jos valittu ehkäisymenetelmä on sukupuoliyhteydestä pidättyminen. Ehkäisyn pettämisen riskin minimoimiseksi pitää mieluiten kuitenkin käyttää kahta toisiaan täydentävää ehkäisymenetelmää.</w:t>
      </w:r>
    </w:p>
    <w:p>
      <w:pPr>
        <w:spacing w:after="140"/>
        <w:rPr>
          <w:rFonts w:eastAsia="Verdana"/>
          <w:lang w:val="fi-FI" w:eastAsia="en-GB"/>
        </w:rPr>
      </w:pPr>
    </w:p>
    <w:p>
      <w:pPr>
        <w:spacing w:after="140"/>
        <w:rPr>
          <w:rFonts w:eastAsia="Verdana"/>
          <w:lang w:val="fi-FI" w:eastAsia="en-GB"/>
        </w:rPr>
      </w:pPr>
      <w:r>
        <w:rPr>
          <w:b/>
          <w:position w:val="1"/>
          <w:lang w:val="fi-FI"/>
        </w:rPr>
        <w:t>Raportointipyyntö</w:t>
      </w:r>
    </w:p>
    <w:p>
      <w:pPr>
        <w:pStyle w:val="BodytextAgency"/>
        <w:spacing w:line="240" w:lineRule="auto"/>
        <w:rPr>
          <w:b/>
          <w:position w:val="1"/>
          <w:lang w:val="fi-FI"/>
        </w:rPr>
      </w:pPr>
      <w:r>
        <w:rPr>
          <w:lang w:val="fi-FI"/>
        </w:rPr>
        <w:t>On tärkeää ilmoittaa myyntiluvan myöntämisen jälkeisistä lääkevalmisteen epäillyistä haittavaikutuksista. Se mahdollistaa lääkevalmisteen hyöty–haitta-tasapainon jatkuvan arvioinnin. Terveydenhuollon ammattilaisia pyydetään ilmoittamaan kaikista epäillyistä haittavaikutuksista:</w:t>
      </w:r>
    </w:p>
    <w:p>
      <w:pPr>
        <w:pStyle w:val="BodytextAgency"/>
        <w:spacing w:after="0" w:line="240" w:lineRule="auto"/>
        <w:rPr>
          <w:lang w:val="fi-FI"/>
        </w:rPr>
      </w:pPr>
      <w:r>
        <w:rPr>
          <w:lang w:val="fi-FI"/>
        </w:rPr>
        <w:t xml:space="preserve">www-sivusto: </w:t>
      </w:r>
      <w:hyperlink r:id="rId10" w:history="1">
        <w:r>
          <w:rPr>
            <w:rStyle w:val="Hyperlink"/>
            <w:lang w:val="fi-FI"/>
          </w:rPr>
          <w:t>www.fimea.fi</w:t>
        </w:r>
      </w:hyperlink>
    </w:p>
    <w:p>
      <w:pPr>
        <w:pStyle w:val="BodytextAgency"/>
        <w:spacing w:after="0" w:line="240" w:lineRule="auto"/>
        <w:rPr>
          <w:lang w:val="fi-FI"/>
        </w:rPr>
      </w:pPr>
      <w:r>
        <w:rPr>
          <w:lang w:val="fi-FI"/>
        </w:rPr>
        <w:t>Lääkealan turvallisuus</w:t>
      </w:r>
      <w:r>
        <w:rPr>
          <w:rFonts w:ascii="Cambria Math" w:hAnsi="Cambria Math" w:cs="Cambria Math"/>
          <w:lang w:val="fi-FI"/>
        </w:rPr>
        <w:t>‐</w:t>
      </w:r>
      <w:r>
        <w:rPr>
          <w:lang w:val="fi-FI"/>
        </w:rPr>
        <w:t xml:space="preserve"> ja kehittämiskeskus </w:t>
      </w:r>
      <w:proofErr w:type="spellStart"/>
      <w:r>
        <w:rPr>
          <w:lang w:val="fi-FI"/>
        </w:rPr>
        <w:t>Fimea</w:t>
      </w:r>
      <w:proofErr w:type="spellEnd"/>
    </w:p>
    <w:p>
      <w:pPr>
        <w:pStyle w:val="BodytextAgency"/>
        <w:spacing w:after="0" w:line="240" w:lineRule="auto"/>
        <w:rPr>
          <w:lang w:val="fi-FI"/>
        </w:rPr>
      </w:pPr>
      <w:r>
        <w:rPr>
          <w:lang w:val="fi-FI"/>
        </w:rPr>
        <w:t>Lääkkeiden haittavaikutusrekisteri</w:t>
      </w:r>
    </w:p>
    <w:p>
      <w:pPr>
        <w:pStyle w:val="BodytextAgency"/>
        <w:spacing w:after="0" w:line="240" w:lineRule="auto"/>
        <w:rPr>
          <w:lang w:val="fi-FI"/>
        </w:rPr>
      </w:pPr>
      <w:r>
        <w:rPr>
          <w:lang w:val="fi-FI"/>
        </w:rPr>
        <w:t>PL 55</w:t>
      </w:r>
    </w:p>
    <w:p>
      <w:pPr>
        <w:pStyle w:val="BodytextAgency"/>
        <w:spacing w:after="0" w:line="240" w:lineRule="auto"/>
        <w:rPr>
          <w:lang w:val="fi-FI"/>
        </w:rPr>
      </w:pPr>
      <w:r>
        <w:rPr>
          <w:lang w:val="fi-FI"/>
        </w:rPr>
        <w:t>00034 FIMEA</w:t>
      </w:r>
    </w:p>
    <w:p>
      <w:pPr>
        <w:pStyle w:val="BodytextAgency"/>
        <w:spacing w:after="0" w:line="240" w:lineRule="auto"/>
        <w:rPr>
          <w:lang w:val="fi-FI"/>
        </w:rPr>
      </w:pPr>
    </w:p>
    <w:p>
      <w:pPr>
        <w:autoSpaceDE w:val="0"/>
        <w:autoSpaceDN w:val="0"/>
        <w:adjustRightInd w:val="0"/>
        <w:ind w:right="-20"/>
        <w:rPr>
          <w:rFonts w:cs="Calibri"/>
          <w:b/>
          <w:bCs/>
          <w:lang w:val="fi-FI" w:eastAsia="de-DE"/>
        </w:rPr>
      </w:pPr>
    </w:p>
    <w:p>
      <w:pPr>
        <w:autoSpaceDE w:val="0"/>
        <w:autoSpaceDN w:val="0"/>
        <w:adjustRightInd w:val="0"/>
        <w:ind w:right="-20"/>
        <w:rPr>
          <w:rFonts w:cs="Calibri"/>
          <w:b/>
          <w:lang w:val="fi-FI" w:eastAsia="de-DE"/>
        </w:rPr>
      </w:pPr>
      <w:r>
        <w:rPr>
          <w:rFonts w:cs="Calibri"/>
          <w:b/>
          <w:bCs/>
          <w:lang w:val="fi-FI" w:eastAsia="de-DE"/>
        </w:rPr>
        <w:t>Yritysten yhteystiedot</w:t>
      </w:r>
    </w:p>
    <w:p>
      <w:pPr>
        <w:autoSpaceDE w:val="0"/>
        <w:autoSpaceDN w:val="0"/>
        <w:adjustRightInd w:val="0"/>
        <w:ind w:right="-20"/>
        <w:rPr>
          <w:rFonts w:eastAsiaTheme="minorHAnsi"/>
          <w:lang w:val="fi-FI" w:eastAsia="en-US"/>
        </w:rPr>
      </w:pPr>
    </w:p>
    <w:p>
      <w:pPr>
        <w:autoSpaceDE w:val="0"/>
        <w:autoSpaceDN w:val="0"/>
        <w:adjustRightInd w:val="0"/>
        <w:ind w:right="-20"/>
        <w:rPr>
          <w:rFonts w:cs="Calibri"/>
          <w:b/>
          <w:lang w:val="fi-FI" w:eastAsia="de-DE"/>
        </w:rPr>
      </w:pPr>
      <w:r>
        <w:rPr>
          <w:rFonts w:eastAsiaTheme="minorHAnsi"/>
          <w:lang w:val="fi-FI" w:eastAsia="en-US"/>
        </w:rPr>
        <w:t>Kysymyksiin vastaavat ja lisätietoja antavat tarvittaessa:</w:t>
      </w:r>
      <w:r>
        <w:rPr>
          <w:rFonts w:cs="Calibri"/>
          <w:bCs/>
          <w:lang w:val="fi-FI" w:eastAsia="de-DE"/>
        </w:rPr>
        <w:t xml:space="preserve"> </w:t>
      </w:r>
    </w:p>
    <w:p>
      <w:pPr>
        <w:autoSpaceDE w:val="0"/>
        <w:autoSpaceDN w:val="0"/>
        <w:adjustRightInd w:val="0"/>
        <w:spacing w:before="46"/>
        <w:ind w:left="40" w:right="-20"/>
        <w:rPr>
          <w:rFonts w:cs="Calibri"/>
          <w:bCs/>
          <w:lang w:val="fi-FI" w:eastAsia="de-D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701"/>
        <w:gridCol w:w="4111"/>
        <w:gridCol w:w="1530"/>
      </w:tblGrid>
      <w:tr>
        <w:tc>
          <w:tcPr>
            <w:tcW w:w="1980" w:type="dxa"/>
          </w:tcPr>
          <w:p>
            <w:pPr>
              <w:pStyle w:val="BodytextAgency"/>
              <w:spacing w:line="240" w:lineRule="auto"/>
              <w:rPr>
                <w:b/>
                <w:lang w:val="fi-FI"/>
              </w:rPr>
            </w:pPr>
            <w:r>
              <w:rPr>
                <w:b/>
                <w:lang w:val="fi-FI"/>
              </w:rPr>
              <w:t>Yhtiö</w:t>
            </w:r>
          </w:p>
        </w:tc>
        <w:tc>
          <w:tcPr>
            <w:tcW w:w="1701" w:type="dxa"/>
          </w:tcPr>
          <w:p>
            <w:pPr>
              <w:pStyle w:val="BodytextAgency"/>
              <w:spacing w:line="240" w:lineRule="auto"/>
              <w:rPr>
                <w:b/>
                <w:lang w:val="fi-FI"/>
              </w:rPr>
            </w:pPr>
            <w:r>
              <w:rPr>
                <w:b/>
                <w:lang w:val="fi-FI"/>
              </w:rPr>
              <w:t>Kauppanimi</w:t>
            </w:r>
          </w:p>
        </w:tc>
        <w:tc>
          <w:tcPr>
            <w:tcW w:w="4111" w:type="dxa"/>
          </w:tcPr>
          <w:p>
            <w:pPr>
              <w:pStyle w:val="BodytextAgency"/>
              <w:spacing w:line="240" w:lineRule="auto"/>
              <w:rPr>
                <w:b/>
                <w:lang w:val="fi-FI"/>
              </w:rPr>
            </w:pPr>
            <w:r>
              <w:rPr>
                <w:b/>
                <w:lang w:val="fi-FI"/>
              </w:rPr>
              <w:t>Sähköpostiosoite</w:t>
            </w:r>
          </w:p>
        </w:tc>
        <w:tc>
          <w:tcPr>
            <w:tcW w:w="1530" w:type="dxa"/>
          </w:tcPr>
          <w:p>
            <w:pPr>
              <w:pStyle w:val="BodytextAgency"/>
              <w:spacing w:line="240" w:lineRule="auto"/>
              <w:rPr>
                <w:b/>
                <w:lang w:val="fi-FI"/>
              </w:rPr>
            </w:pPr>
            <w:r>
              <w:rPr>
                <w:b/>
                <w:lang w:val="fi-FI"/>
              </w:rPr>
              <w:t>Puhelin</w:t>
            </w:r>
          </w:p>
        </w:tc>
      </w:tr>
      <w:tr>
        <w:tc>
          <w:tcPr>
            <w:tcW w:w="1980" w:type="dxa"/>
          </w:tcPr>
          <w:p>
            <w:pPr>
              <w:pStyle w:val="BodytextAgency"/>
              <w:spacing w:line="240" w:lineRule="auto"/>
              <w:rPr>
                <w:lang w:val="fi-FI"/>
              </w:rPr>
            </w:pPr>
            <w:r>
              <w:rPr>
                <w:lang w:val="fi-FI"/>
              </w:rPr>
              <w:t>Roche Oy</w:t>
            </w:r>
          </w:p>
        </w:tc>
        <w:tc>
          <w:tcPr>
            <w:tcW w:w="1701" w:type="dxa"/>
          </w:tcPr>
          <w:p>
            <w:pPr>
              <w:pStyle w:val="BodytextAgency"/>
              <w:spacing w:line="240" w:lineRule="auto"/>
              <w:rPr>
                <w:lang w:val="fi-FI"/>
              </w:rPr>
            </w:pPr>
            <w:proofErr w:type="spellStart"/>
            <w:r>
              <w:rPr>
                <w:lang w:val="fi-FI"/>
              </w:rPr>
              <w:t>CellCept</w:t>
            </w:r>
            <w:proofErr w:type="spellEnd"/>
          </w:p>
        </w:tc>
        <w:tc>
          <w:tcPr>
            <w:tcW w:w="4111" w:type="dxa"/>
          </w:tcPr>
          <w:p>
            <w:pPr>
              <w:pStyle w:val="BodytextAgency"/>
              <w:spacing w:line="240" w:lineRule="auto"/>
              <w:rPr>
                <w:lang w:val="fi-FI"/>
              </w:rPr>
            </w:pPr>
            <w:hyperlink r:id="rId11" w:history="1">
              <w:r>
                <w:rPr>
                  <w:rStyle w:val="Hyperlink"/>
                  <w:lang w:val="fi-FI"/>
                </w:rPr>
                <w:t>finland.medical-information@roche.com</w:t>
              </w:r>
            </w:hyperlink>
          </w:p>
        </w:tc>
        <w:tc>
          <w:tcPr>
            <w:tcW w:w="1530" w:type="dxa"/>
          </w:tcPr>
          <w:p>
            <w:pPr>
              <w:pStyle w:val="BodytextAgency"/>
              <w:spacing w:line="240" w:lineRule="auto"/>
              <w:rPr>
                <w:lang w:val="fi-FI"/>
              </w:rPr>
            </w:pPr>
            <w:r>
              <w:rPr>
                <w:lang w:val="fi-FI"/>
              </w:rPr>
              <w:t>010 554 500</w:t>
            </w:r>
          </w:p>
        </w:tc>
      </w:tr>
      <w:tr>
        <w:tc>
          <w:tcPr>
            <w:tcW w:w="1980" w:type="dxa"/>
          </w:tcPr>
          <w:p>
            <w:pPr>
              <w:pStyle w:val="BodytextAgency"/>
              <w:spacing w:line="240" w:lineRule="auto"/>
              <w:rPr>
                <w:lang w:val="fi-FI"/>
              </w:rPr>
            </w:pPr>
            <w:proofErr w:type="spellStart"/>
            <w:r>
              <w:rPr>
                <w:lang w:val="fi-FI"/>
              </w:rPr>
              <w:t>Accord</w:t>
            </w:r>
            <w:proofErr w:type="spellEnd"/>
            <w:r>
              <w:rPr>
                <w:lang w:val="fi-FI"/>
              </w:rPr>
              <w:t xml:space="preserve"> Healthcare Oy</w:t>
            </w:r>
          </w:p>
        </w:tc>
        <w:tc>
          <w:tcPr>
            <w:tcW w:w="1701" w:type="dxa"/>
          </w:tcPr>
          <w:p>
            <w:pPr>
              <w:pStyle w:val="BodytextAgency"/>
              <w:spacing w:line="240" w:lineRule="auto"/>
              <w:rPr>
                <w:lang w:val="fi-FI"/>
              </w:rPr>
            </w:pPr>
            <w:proofErr w:type="spellStart"/>
            <w:r>
              <w:rPr>
                <w:lang w:val="fi-FI"/>
              </w:rPr>
              <w:t>Mycophenolate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Mofetil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Accord</w:t>
            </w:r>
            <w:proofErr w:type="spellEnd"/>
          </w:p>
        </w:tc>
        <w:tc>
          <w:tcPr>
            <w:tcW w:w="4111" w:type="dxa"/>
          </w:tcPr>
          <w:p>
            <w:pPr>
              <w:pStyle w:val="BodytextAgency"/>
              <w:spacing w:line="240" w:lineRule="auto"/>
              <w:rPr>
                <w:lang w:val="fi-FI"/>
              </w:rPr>
            </w:pPr>
            <w:hyperlink r:id="rId12" w:tgtFrame="_blank" w:history="1">
              <w:r>
                <w:rPr>
                  <w:rStyle w:val="Hyperlink"/>
                  <w:lang w:val="en-GB"/>
                </w:rPr>
                <w:t>finland@accord-healthcare.com</w:t>
              </w:r>
            </w:hyperlink>
          </w:p>
        </w:tc>
        <w:tc>
          <w:tcPr>
            <w:tcW w:w="1530" w:type="dxa"/>
          </w:tcPr>
          <w:p>
            <w:pPr>
              <w:pStyle w:val="BodytextAgency"/>
              <w:spacing w:line="240" w:lineRule="auto"/>
              <w:rPr>
                <w:lang w:val="fi-FI"/>
              </w:rPr>
            </w:pPr>
            <w:r>
              <w:rPr>
                <w:lang w:val="en-GB"/>
              </w:rPr>
              <w:t>010 231 4180</w:t>
            </w:r>
          </w:p>
        </w:tc>
      </w:tr>
      <w:tr>
        <w:tc>
          <w:tcPr>
            <w:tcW w:w="1980" w:type="dxa"/>
          </w:tcPr>
          <w:p>
            <w:pPr>
              <w:pStyle w:val="BodytextAgency"/>
              <w:spacing w:line="240" w:lineRule="auto"/>
              <w:rPr>
                <w:lang w:val="fi-FI"/>
              </w:rPr>
            </w:pPr>
            <w:r>
              <w:rPr>
                <w:lang w:val="fi-FI"/>
              </w:rPr>
              <w:t>Novartis Finland Oy</w:t>
            </w:r>
          </w:p>
        </w:tc>
        <w:tc>
          <w:tcPr>
            <w:tcW w:w="1701" w:type="dxa"/>
          </w:tcPr>
          <w:p>
            <w:pPr>
              <w:pStyle w:val="BodytextAgency"/>
              <w:spacing w:line="240" w:lineRule="auto"/>
              <w:rPr>
                <w:lang w:val="fi-FI"/>
              </w:rPr>
            </w:pPr>
            <w:proofErr w:type="spellStart"/>
            <w:r>
              <w:rPr>
                <w:lang w:val="fi-FI"/>
              </w:rPr>
              <w:t>Myfortic</w:t>
            </w:r>
            <w:proofErr w:type="spellEnd"/>
          </w:p>
        </w:tc>
        <w:tc>
          <w:tcPr>
            <w:tcW w:w="4111" w:type="dxa"/>
          </w:tcPr>
          <w:p>
            <w:pPr>
              <w:pStyle w:val="BodytextAgency"/>
              <w:spacing w:line="240" w:lineRule="auto"/>
              <w:rPr>
                <w:lang w:val="fi-FI"/>
              </w:rPr>
            </w:pPr>
            <w:hyperlink r:id="rId13" w:history="1">
              <w:r>
                <w:rPr>
                  <w:rStyle w:val="Hyperlink"/>
                </w:rPr>
                <w:t>Novartis.laakeinformaatio@novartis.com</w:t>
              </w:r>
            </w:hyperlink>
          </w:p>
        </w:tc>
        <w:tc>
          <w:tcPr>
            <w:tcW w:w="1530" w:type="dxa"/>
          </w:tcPr>
          <w:p>
            <w:pPr>
              <w:pStyle w:val="BodytextAgency"/>
              <w:spacing w:line="240" w:lineRule="auto"/>
              <w:rPr>
                <w:lang w:val="fi-FI"/>
              </w:rPr>
            </w:pPr>
            <w:r>
              <w:rPr>
                <w:lang w:val="en-GB"/>
              </w:rPr>
              <w:t>010 6133 200</w:t>
            </w:r>
          </w:p>
        </w:tc>
      </w:tr>
      <w:tr>
        <w:tc>
          <w:tcPr>
            <w:tcW w:w="1980" w:type="dxa"/>
            <w:tcBorders>
              <w:bottom w:val="single" w:sz="4" w:space="0" w:color="auto"/>
            </w:tcBorders>
          </w:tcPr>
          <w:p>
            <w:pPr>
              <w:pStyle w:val="BodytextAgency"/>
              <w:spacing w:line="240" w:lineRule="auto"/>
              <w:rPr>
                <w:lang w:val="fi-FI"/>
              </w:rPr>
            </w:pPr>
            <w:proofErr w:type="spellStart"/>
            <w:r>
              <w:rPr>
                <w:lang w:val="fi-FI"/>
              </w:rPr>
              <w:t>Sandoz</w:t>
            </w:r>
            <w:proofErr w:type="spellEnd"/>
            <w:r>
              <w:rPr>
                <w:lang w:val="fi-FI"/>
              </w:rPr>
              <w:t xml:space="preserve"> A/S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>
            <w:pPr>
              <w:pStyle w:val="BodytextAgency"/>
              <w:spacing w:line="240" w:lineRule="auto"/>
              <w:rPr>
                <w:lang w:val="fi-FI"/>
              </w:rPr>
            </w:pPr>
            <w:proofErr w:type="spellStart"/>
            <w:r>
              <w:rPr>
                <w:lang w:val="fi-FI"/>
              </w:rPr>
              <w:t>Mycophenolate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mofetil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Sandoz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</w:tcPr>
          <w:p>
            <w:pPr>
              <w:pStyle w:val="BodytextAgency"/>
              <w:spacing w:line="240" w:lineRule="auto"/>
              <w:rPr>
                <w:lang w:val="fi-FI"/>
              </w:rPr>
            </w:pPr>
            <w:hyperlink r:id="rId14" w:history="1">
              <w:r>
                <w:rPr>
                  <w:rStyle w:val="Hyperlink"/>
                  <w:lang w:val="en-GB"/>
                </w:rPr>
                <w:t>info.suomi@sandoz.com</w:t>
              </w:r>
            </w:hyperlink>
          </w:p>
        </w:tc>
        <w:tc>
          <w:tcPr>
            <w:tcW w:w="1530" w:type="dxa"/>
            <w:tcBorders>
              <w:bottom w:val="single" w:sz="4" w:space="0" w:color="auto"/>
            </w:tcBorders>
          </w:tcPr>
          <w:p>
            <w:pPr>
              <w:pStyle w:val="BodytextAgency"/>
              <w:spacing w:line="240" w:lineRule="auto"/>
              <w:rPr>
                <w:lang w:val="fi-FI"/>
              </w:rPr>
            </w:pPr>
            <w:r>
              <w:rPr>
                <w:lang w:val="en-GB"/>
              </w:rPr>
              <w:t>010 6133 400</w:t>
            </w:r>
          </w:p>
        </w:tc>
      </w:tr>
      <w:tr>
        <w:trPr>
          <w:trHeight w:val="418"/>
        </w:trPr>
        <w:tc>
          <w:tcPr>
            <w:tcW w:w="1980" w:type="dxa"/>
          </w:tcPr>
          <w:p>
            <w:pPr>
              <w:pStyle w:val="BodytextAgency"/>
              <w:spacing w:line="240" w:lineRule="auto"/>
              <w:rPr>
                <w:lang w:val="fi-FI"/>
              </w:rPr>
            </w:pPr>
            <w:proofErr w:type="spellStart"/>
            <w:r>
              <w:rPr>
                <w:lang w:val="fi-FI"/>
              </w:rPr>
              <w:t>Teva</w:t>
            </w:r>
            <w:proofErr w:type="spellEnd"/>
          </w:p>
        </w:tc>
        <w:tc>
          <w:tcPr>
            <w:tcW w:w="1701" w:type="dxa"/>
          </w:tcPr>
          <w:p>
            <w:pPr>
              <w:pStyle w:val="BodytextAgency"/>
              <w:spacing w:line="240" w:lineRule="auto"/>
              <w:rPr>
                <w:lang w:val="fi-FI"/>
              </w:rPr>
            </w:pPr>
            <w:proofErr w:type="spellStart"/>
            <w:r>
              <w:rPr>
                <w:lang w:val="fi-FI"/>
              </w:rPr>
              <w:t>Myfenax</w:t>
            </w:r>
            <w:proofErr w:type="spellEnd"/>
          </w:p>
        </w:tc>
        <w:bookmarkStart w:id="0" w:name="_GoBack"/>
        <w:bookmarkEnd w:id="0"/>
        <w:tc>
          <w:tcPr>
            <w:tcW w:w="4111" w:type="dxa"/>
          </w:tcPr>
          <w:p>
            <w:pPr>
              <w:pStyle w:val="BodytextAgency"/>
              <w:spacing w:line="240" w:lineRule="auto"/>
              <w:rPr>
                <w:u w:val="single"/>
                <w:lang w:val="fi-FI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HYPERLINK "mailto:safety.finland@tevaeu.com" </w:instrText>
            </w:r>
            <w:r>
              <w:rPr>
                <w:lang w:val="en-GB"/>
              </w:rPr>
              <w:fldChar w:fldCharType="separate"/>
            </w:r>
            <w:r>
              <w:rPr>
                <w:rStyle w:val="Hyperlink"/>
                <w:lang w:val="en-GB"/>
              </w:rPr>
              <w:t>safety.finland@tevaeu.com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530" w:type="dxa"/>
          </w:tcPr>
          <w:p>
            <w:pPr>
              <w:pStyle w:val="BodytextAgency"/>
              <w:spacing w:line="240" w:lineRule="auto"/>
              <w:rPr>
                <w:lang w:val="fi-FI"/>
              </w:rPr>
            </w:pPr>
            <w:r>
              <w:rPr>
                <w:lang w:val="fi-FI"/>
              </w:rPr>
              <w:t>020 180 5900</w:t>
            </w:r>
          </w:p>
        </w:tc>
      </w:tr>
    </w:tbl>
    <w:p>
      <w:pPr>
        <w:pStyle w:val="BodytextAgency"/>
        <w:spacing w:line="240" w:lineRule="auto"/>
        <w:rPr>
          <w:lang w:val="fi-FI"/>
        </w:rPr>
      </w:pPr>
    </w:p>
    <w:p>
      <w:pPr>
        <w:pStyle w:val="BodytextAgency"/>
        <w:spacing w:line="240" w:lineRule="auto"/>
        <w:rPr>
          <w:lang w:val="fi-FI"/>
        </w:rPr>
      </w:pPr>
      <w:r>
        <w:rPr>
          <w:lang w:val="fi-FI"/>
        </w:rPr>
        <w:t>Ystävällisin terveisin</w:t>
      </w:r>
    </w:p>
    <w:tbl>
      <w:tblPr>
        <w:tblStyle w:val="TableGrid1"/>
        <w:tblW w:w="921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>
        <w:tc>
          <w:tcPr>
            <w:tcW w:w="4606" w:type="dxa"/>
          </w:tcPr>
          <w:p>
            <w:pPr>
              <w:rPr>
                <w:lang w:val="fi-FI"/>
              </w:rPr>
            </w:pPr>
          </w:p>
          <w:p>
            <w:pPr>
              <w:rPr>
                <w:lang w:val="fi-FI"/>
              </w:rPr>
            </w:pPr>
            <w:r>
              <w:rPr>
                <w:lang w:val="fi-FI"/>
              </w:rPr>
              <w:t>Anssi Linnankivi</w:t>
            </w:r>
          </w:p>
          <w:p>
            <w:pPr>
              <w:rPr>
                <w:lang w:val="fi-FI"/>
              </w:rPr>
            </w:pPr>
            <w:r>
              <w:rPr>
                <w:lang w:val="fi-FI"/>
              </w:rPr>
              <w:t>Lääketieteellinen johtaja</w:t>
            </w:r>
          </w:p>
          <w:p>
            <w:pPr>
              <w:rPr>
                <w:lang w:val="fi-FI"/>
              </w:rPr>
            </w:pPr>
            <w:r>
              <w:rPr>
                <w:lang w:val="fi-FI"/>
              </w:rPr>
              <w:t>Roche Oy</w:t>
            </w:r>
          </w:p>
          <w:p>
            <w:pPr>
              <w:pStyle w:val="BodytextAgency"/>
              <w:spacing w:after="0" w:line="240" w:lineRule="auto"/>
              <w:rPr>
                <w:position w:val="1"/>
                <w:lang w:val="fi-FI"/>
              </w:rPr>
            </w:pPr>
          </w:p>
        </w:tc>
        <w:tc>
          <w:tcPr>
            <w:tcW w:w="4606" w:type="dxa"/>
          </w:tcPr>
          <w:p>
            <w:pPr>
              <w:pStyle w:val="BodytextAgency"/>
              <w:spacing w:after="0" w:line="240" w:lineRule="auto"/>
              <w:rPr>
                <w:position w:val="1"/>
                <w:lang w:val="fi-FI"/>
              </w:rPr>
            </w:pPr>
          </w:p>
          <w:p>
            <w:pPr>
              <w:pStyle w:val="BodytextAgency"/>
              <w:spacing w:after="0" w:line="240" w:lineRule="auto"/>
              <w:rPr>
                <w:position w:val="1"/>
                <w:lang w:val="fi-FI"/>
              </w:rPr>
            </w:pPr>
            <w:r>
              <w:rPr>
                <w:position w:val="1"/>
                <w:lang w:val="fi-FI"/>
              </w:rPr>
              <w:t xml:space="preserve">Heini </w:t>
            </w:r>
            <w:proofErr w:type="spellStart"/>
            <w:r>
              <w:rPr>
                <w:position w:val="1"/>
                <w:lang w:val="fi-FI"/>
              </w:rPr>
              <w:t>Rantinoja</w:t>
            </w:r>
            <w:proofErr w:type="spellEnd"/>
          </w:p>
          <w:p>
            <w:pPr>
              <w:pStyle w:val="BodytextAgency"/>
              <w:spacing w:after="0" w:line="240" w:lineRule="auto"/>
              <w:rPr>
                <w:position w:val="1"/>
                <w:lang w:val="fi-FI"/>
              </w:rPr>
            </w:pPr>
            <w:r>
              <w:rPr>
                <w:position w:val="1"/>
                <w:lang w:val="fi-FI"/>
              </w:rPr>
              <w:t>Vastuunalainen johtaja</w:t>
            </w:r>
          </w:p>
          <w:p>
            <w:pPr>
              <w:pStyle w:val="BodytextAgency"/>
              <w:spacing w:after="0" w:line="240" w:lineRule="auto"/>
              <w:rPr>
                <w:position w:val="1"/>
                <w:lang w:val="fi-FI"/>
              </w:rPr>
            </w:pPr>
            <w:proofErr w:type="spellStart"/>
            <w:r>
              <w:rPr>
                <w:position w:val="1"/>
                <w:lang w:val="fi-FI"/>
              </w:rPr>
              <w:t>Accord</w:t>
            </w:r>
            <w:proofErr w:type="spellEnd"/>
            <w:r>
              <w:rPr>
                <w:position w:val="1"/>
                <w:lang w:val="fi-FI"/>
              </w:rPr>
              <w:t xml:space="preserve"> Healthcare Oy</w:t>
            </w:r>
          </w:p>
        </w:tc>
      </w:tr>
      <w:tr>
        <w:tc>
          <w:tcPr>
            <w:tcW w:w="4606" w:type="dxa"/>
          </w:tcPr>
          <w:p>
            <w:pPr>
              <w:pStyle w:val="BodytextAgency"/>
              <w:spacing w:after="0" w:line="240" w:lineRule="auto"/>
              <w:rPr>
                <w:position w:val="1"/>
                <w:lang w:val="en-US"/>
              </w:rPr>
            </w:pPr>
            <w:proofErr w:type="spellStart"/>
            <w:r>
              <w:rPr>
                <w:lang w:val="en-US"/>
              </w:rPr>
              <w:t>Jaana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Santaholma</w:t>
            </w:r>
            <w:proofErr w:type="spellEnd"/>
          </w:p>
          <w:p>
            <w:pPr>
              <w:pStyle w:val="BodytextAgency"/>
              <w:spacing w:after="0" w:line="240" w:lineRule="auto"/>
              <w:rPr>
                <w:position w:val="1"/>
                <w:lang w:val="en-US"/>
              </w:rPr>
            </w:pPr>
            <w:r>
              <w:rPr>
                <w:lang w:val="en-US"/>
              </w:rPr>
              <w:t>Country Medical Manager</w:t>
            </w:r>
            <w:r>
              <w:rPr>
                <w:position w:val="1"/>
                <w:lang w:val="en-US"/>
              </w:rPr>
              <w:br/>
              <w:t>Novartis Finland Oy</w:t>
            </w:r>
          </w:p>
        </w:tc>
        <w:tc>
          <w:tcPr>
            <w:tcW w:w="4606" w:type="dxa"/>
          </w:tcPr>
          <w:p>
            <w:pPr>
              <w:pStyle w:val="BodytextAgency"/>
              <w:spacing w:after="0" w:line="240" w:lineRule="auto"/>
              <w:rPr>
                <w:position w:val="1"/>
                <w:lang w:val="en-GB"/>
              </w:rPr>
            </w:pPr>
            <w:r>
              <w:rPr>
                <w:lang w:val="en-GB"/>
              </w:rPr>
              <w:t xml:space="preserve">Eva Rupp </w:t>
            </w:r>
            <w:proofErr w:type="spellStart"/>
            <w:r>
              <w:rPr>
                <w:lang w:val="en-GB"/>
              </w:rPr>
              <w:t>Thuresson</w:t>
            </w:r>
            <w:proofErr w:type="spellEnd"/>
          </w:p>
          <w:p>
            <w:pPr>
              <w:pStyle w:val="BodytextAgency"/>
              <w:spacing w:after="0" w:line="240" w:lineRule="auto"/>
              <w:rPr>
                <w:position w:val="1"/>
                <w:lang w:val="en-GB"/>
              </w:rPr>
            </w:pPr>
            <w:r>
              <w:rPr>
                <w:lang w:val="en-GB"/>
              </w:rPr>
              <w:t>Head Medical Affairs Nordic</w:t>
            </w:r>
            <w:r>
              <w:rPr>
                <w:position w:val="1"/>
                <w:lang w:val="en-GB"/>
              </w:rPr>
              <w:br/>
              <w:t>Sandoz A/S</w:t>
            </w:r>
          </w:p>
          <w:p>
            <w:pPr>
              <w:pStyle w:val="BodytextAgency"/>
              <w:spacing w:after="0" w:line="240" w:lineRule="auto"/>
              <w:rPr>
                <w:position w:val="1"/>
                <w:lang w:val="en-US"/>
              </w:rPr>
            </w:pPr>
          </w:p>
        </w:tc>
      </w:tr>
      <w:tr>
        <w:tc>
          <w:tcPr>
            <w:tcW w:w="4606" w:type="dxa"/>
          </w:tcPr>
          <w:p>
            <w:pPr>
              <w:pStyle w:val="BodytextAgency"/>
              <w:spacing w:after="0" w:line="240" w:lineRule="auto"/>
              <w:rPr>
                <w:position w:val="1"/>
                <w:lang w:val="fi-FI"/>
              </w:rPr>
            </w:pPr>
            <w:r>
              <w:rPr>
                <w:position w:val="1"/>
                <w:lang w:val="fi-FI"/>
              </w:rPr>
              <w:t>Kari Alhainen</w:t>
            </w:r>
          </w:p>
          <w:p>
            <w:pPr>
              <w:pStyle w:val="BodytextAgency"/>
              <w:spacing w:after="0" w:line="240" w:lineRule="auto"/>
              <w:rPr>
                <w:position w:val="1"/>
                <w:lang w:val="fi-FI"/>
              </w:rPr>
            </w:pPr>
            <w:r>
              <w:rPr>
                <w:position w:val="1"/>
                <w:lang w:val="fi-FI"/>
              </w:rPr>
              <w:t>Lääketieteellinen johtaja</w:t>
            </w:r>
          </w:p>
          <w:p>
            <w:pPr>
              <w:pStyle w:val="BodytextAgency"/>
              <w:spacing w:after="0" w:line="240" w:lineRule="auto"/>
              <w:rPr>
                <w:position w:val="1"/>
                <w:lang w:val="fi-FI"/>
              </w:rPr>
            </w:pPr>
            <w:proofErr w:type="spellStart"/>
            <w:r>
              <w:rPr>
                <w:position w:val="1"/>
                <w:lang w:val="fi-FI"/>
              </w:rPr>
              <w:t>Teva</w:t>
            </w:r>
            <w:proofErr w:type="spellEnd"/>
            <w:r>
              <w:rPr>
                <w:position w:val="1"/>
                <w:lang w:val="fi-FI"/>
              </w:rPr>
              <w:t xml:space="preserve"> Finland Oy </w:t>
            </w:r>
          </w:p>
        </w:tc>
        <w:tc>
          <w:tcPr>
            <w:tcW w:w="4606" w:type="dxa"/>
          </w:tcPr>
          <w:p>
            <w:pPr>
              <w:pStyle w:val="BodytextAgency"/>
              <w:spacing w:after="0" w:line="240" w:lineRule="auto"/>
              <w:rPr>
                <w:position w:val="1"/>
                <w:lang w:val="fi-FI"/>
              </w:rPr>
            </w:pPr>
          </w:p>
        </w:tc>
      </w:tr>
    </w:tbl>
    <w:p>
      <w:pPr>
        <w:pStyle w:val="BodytextAgency"/>
        <w:rPr>
          <w:lang w:val="fi-FI"/>
        </w:rPr>
      </w:pPr>
    </w:p>
    <w:sectPr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  <w:endnote w:type="continuationNotice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1">
    <w:p/>
  </w:footnote>
  <w:footnote w:id="2">
    <w:p>
      <w:pPr>
        <w:pStyle w:val="FootnoteText"/>
        <w:rPr>
          <w:sz w:val="15"/>
          <w:szCs w:val="15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sz w:val="15"/>
          <w:szCs w:val="15"/>
        </w:rPr>
        <w:t>Mykofenolaattimofetiili</w:t>
      </w:r>
      <w:proofErr w:type="spellEnd"/>
      <w:r>
        <w:rPr>
          <w:sz w:val="15"/>
          <w:szCs w:val="15"/>
        </w:rPr>
        <w:t xml:space="preserve"> on </w:t>
      </w:r>
      <w:proofErr w:type="spellStart"/>
      <w:r>
        <w:rPr>
          <w:sz w:val="15"/>
          <w:szCs w:val="15"/>
        </w:rPr>
        <w:t>mykofenolihapon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aihiolääke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3B37"/>
    <w:multiLevelType w:val="hybridMultilevel"/>
    <w:tmpl w:val="2BD037F6"/>
    <w:lvl w:ilvl="0" w:tplc="8098C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D004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7468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4DB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CAF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BECB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ED0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2AC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5A6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24BF9"/>
    <w:multiLevelType w:val="hybridMultilevel"/>
    <w:tmpl w:val="AFB8B55A"/>
    <w:lvl w:ilvl="0" w:tplc="269CAC12">
      <w:numFmt w:val="bullet"/>
      <w:lvlText w:val="-"/>
      <w:lvlJc w:val="left"/>
      <w:pPr>
        <w:ind w:left="720" w:hanging="360"/>
      </w:pPr>
      <w:rPr>
        <w:rFonts w:ascii="Verdana" w:eastAsia="SimSun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3">
    <w:nsid w:val="5A9005C6"/>
    <w:multiLevelType w:val="hybridMultilevel"/>
    <w:tmpl w:val="7AC69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605971"/>
    <w:multiLevelType w:val="hybridMultilevel"/>
    <w:tmpl w:val="0CCC2E5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Verdana" w:hAnsi="Verdana" w:cs="Verdana"/>
      <w:sz w:val="18"/>
      <w:szCs w:val="18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Agency">
    <w:name w:val="Body text (Agency)"/>
    <w:basedOn w:val="Normal"/>
    <w:link w:val="BodytextAgencyChar"/>
    <w:qFormat/>
    <w:pPr>
      <w:spacing w:after="140" w:line="280" w:lineRule="atLeast"/>
    </w:pPr>
    <w:rPr>
      <w:rFonts w:eastAsia="Verdana"/>
      <w:lang w:val="de-DE" w:eastAsia="en-GB"/>
    </w:rPr>
  </w:style>
  <w:style w:type="character" w:customStyle="1" w:styleId="BodytextAgencyChar">
    <w:name w:val="Body text (Agency) Char"/>
    <w:link w:val="BodytextAgency"/>
    <w:locked/>
    <w:rPr>
      <w:rFonts w:ascii="Verdana" w:eastAsia="Verdana" w:hAnsi="Verdana" w:cs="Verdana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Verdana" w:eastAsia="SimSun" w:hAnsi="Verdana" w:cs="Verdana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Verdana" w:eastAsia="SimSun" w:hAnsi="Verdana" w:cs="Verdana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SimSun" w:hAnsi="Tahoma" w:cs="Tahoma"/>
      <w:sz w:val="16"/>
      <w:szCs w:val="16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eastAsia="SimSun" w:hAnsi="Verdana" w:cs="Verdana"/>
      <w:sz w:val="18"/>
      <w:szCs w:val="18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eastAsia="SimSun" w:hAnsi="Verdana" w:cs="Verdana"/>
      <w:sz w:val="18"/>
      <w:szCs w:val="18"/>
      <w:lang w:val="en-GB" w:eastAsia="zh-CN"/>
    </w:rPr>
  </w:style>
  <w:style w:type="paragraph" w:customStyle="1" w:styleId="DoccategoryheadingAgency">
    <w:name w:val="Doc category heading (Agency)"/>
    <w:next w:val="BodytextAgency"/>
    <w:qFormat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</w:rPr>
  </w:style>
  <w:style w:type="paragraph" w:customStyle="1" w:styleId="DocsubtitleAgency">
    <w:name w:val="Doc subtitle (Agency)"/>
    <w:basedOn w:val="Normal"/>
    <w:next w:val="BodytextAgency"/>
    <w:qFormat/>
    <w:pPr>
      <w:spacing w:after="640" w:line="360" w:lineRule="atLeast"/>
    </w:pPr>
    <w:rPr>
      <w:rFonts w:eastAsia="Verdana"/>
      <w:sz w:val="24"/>
      <w:szCs w:val="24"/>
      <w:lang w:val="de-DE" w:eastAsia="en-GB"/>
    </w:rPr>
  </w:style>
  <w:style w:type="paragraph" w:customStyle="1" w:styleId="DoctitleAgency">
    <w:name w:val="Doc title (Agency)"/>
    <w:basedOn w:val="Normal"/>
    <w:next w:val="DocsubtitleAgency"/>
    <w:qFormat/>
    <w:pPr>
      <w:spacing w:before="720" w:line="360" w:lineRule="atLeast"/>
    </w:pPr>
    <w:rPr>
      <w:rFonts w:eastAsia="Verdana"/>
      <w:color w:val="003399"/>
      <w:sz w:val="32"/>
      <w:szCs w:val="32"/>
      <w:lang w:val="de-DE" w:eastAsia="en-GB"/>
    </w:rPr>
  </w:style>
  <w:style w:type="paragraph" w:customStyle="1" w:styleId="DraftingNotesAgency">
    <w:name w:val="Drafting Notes (Agency)"/>
    <w:basedOn w:val="Normal"/>
    <w:next w:val="BodytextAgency"/>
    <w:qFormat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val="de-DE" w:eastAsia="en-GB"/>
    </w:rPr>
  </w:style>
  <w:style w:type="paragraph" w:customStyle="1" w:styleId="Heading1Agency">
    <w:name w:val="Heading 1 (Agency)"/>
    <w:basedOn w:val="Normal"/>
    <w:next w:val="BodytextAgency"/>
    <w:qFormat/>
    <w:pPr>
      <w:keepNext/>
      <w:numPr>
        <w:numId w:val="13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val="de-DE" w:eastAsia="en-GB"/>
    </w:rPr>
  </w:style>
  <w:style w:type="paragraph" w:customStyle="1" w:styleId="Heading2Agency">
    <w:name w:val="Heading 2 (Agency)"/>
    <w:basedOn w:val="Normal"/>
    <w:next w:val="BodytextAgency"/>
    <w:qFormat/>
    <w:pPr>
      <w:keepNext/>
      <w:numPr>
        <w:ilvl w:val="1"/>
        <w:numId w:val="13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val="de-DE" w:eastAsia="en-GB"/>
    </w:rPr>
  </w:style>
  <w:style w:type="paragraph" w:customStyle="1" w:styleId="Heading3Agency">
    <w:name w:val="Heading 3 (Agency)"/>
    <w:basedOn w:val="Normal"/>
    <w:next w:val="BodytextAgency"/>
    <w:qFormat/>
    <w:pPr>
      <w:keepNext/>
      <w:numPr>
        <w:ilvl w:val="2"/>
        <w:numId w:val="13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val="de-DE" w:eastAsia="en-GB"/>
    </w:rPr>
  </w:style>
  <w:style w:type="paragraph" w:customStyle="1" w:styleId="Heading4Agency">
    <w:name w:val="Heading 4 (Agency)"/>
    <w:basedOn w:val="Heading3Agency"/>
    <w:next w:val="BodytextAgency"/>
    <w:qFormat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pPr>
      <w:numPr>
        <w:ilvl w:val="4"/>
      </w:numPr>
      <w:outlineLvl w:val="4"/>
    </w:pPr>
    <w:rPr>
      <w:i w:val="0"/>
    </w:rPr>
  </w:style>
  <w:style w:type="paragraph" w:customStyle="1" w:styleId="No-numheading1Agency">
    <w:name w:val="No-num heading 1 (Agency)"/>
    <w:basedOn w:val="Normal"/>
    <w:next w:val="BodytextAgency"/>
    <w:qFormat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val="de-DE"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val="de-DE" w:eastAsia="en-GB"/>
    </w:rPr>
  </w:style>
  <w:style w:type="paragraph" w:customStyle="1" w:styleId="No-numheading3Agency">
    <w:name w:val="No-num heading 3 (Agency)"/>
    <w:basedOn w:val="Heading3Agency"/>
    <w:next w:val="BodytextAgency"/>
    <w:qFormat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pPr>
      <w:numPr>
        <w:ilvl w:val="0"/>
        <w:numId w:val="0"/>
      </w:numPr>
    </w:pPr>
  </w:style>
  <w:style w:type="paragraph" w:customStyle="1" w:styleId="NormalAgency">
    <w:name w:val="Normal (Agency)"/>
    <w:qFormat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pPr>
      <w:keepNext/>
      <w:spacing w:before="280" w:after="220"/>
    </w:pPr>
    <w:rPr>
      <w:rFonts w:eastAsia="Times New Roman" w:cs="Arial"/>
      <w:b/>
      <w:kern w:val="32"/>
      <w:sz w:val="27"/>
      <w:szCs w:val="27"/>
      <w:lang w:val="de-DE" w:eastAsia="en-GB"/>
    </w:rPr>
  </w:style>
  <w:style w:type="paragraph" w:customStyle="1" w:styleId="SpecialcommentAgency">
    <w:name w:val="Special comment (Agency)"/>
    <w:next w:val="BodytextAgency"/>
    <w:qFormat/>
    <w:rPr>
      <w:rFonts w:ascii="Verdana" w:eastAsia="Times New Roman" w:hAnsi="Verdana"/>
      <w:color w:val="FF0000"/>
      <w:sz w:val="17"/>
      <w:szCs w:val="17"/>
    </w:rPr>
  </w:style>
  <w:style w:type="paragraph" w:styleId="Revision">
    <w:name w:val="Revision"/>
    <w:hidden/>
    <w:uiPriority w:val="99"/>
    <w:semiHidden/>
    <w:rPr>
      <w:rFonts w:ascii="Verdana" w:hAnsi="Verdana" w:cs="Verdana"/>
      <w:sz w:val="18"/>
      <w:szCs w:val="18"/>
      <w:lang w:val="en-GB" w:eastAsia="zh-CN"/>
    </w:rPr>
  </w:style>
  <w:style w:type="paragraph" w:styleId="FootnoteText">
    <w:name w:val="footnote text"/>
    <w:basedOn w:val="Normal"/>
    <w:link w:val="FootnoteTextChar"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Pr>
      <w:rFonts w:ascii="Verdana" w:hAnsi="Verdana" w:cs="Verdana"/>
      <w:lang w:val="en-GB" w:eastAsia="zh-CN"/>
    </w:rPr>
  </w:style>
  <w:style w:type="character" w:styleId="FootnoteReference">
    <w:name w:val="footnote reference"/>
    <w:basedOn w:val="DefaultParagraphFont"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Verdana" w:hAnsi="Verdana" w:cs="Verdana"/>
      <w:sz w:val="18"/>
      <w:szCs w:val="18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Agency">
    <w:name w:val="Body text (Agency)"/>
    <w:basedOn w:val="Normal"/>
    <w:link w:val="BodytextAgencyChar"/>
    <w:qFormat/>
    <w:pPr>
      <w:spacing w:after="140" w:line="280" w:lineRule="atLeast"/>
    </w:pPr>
    <w:rPr>
      <w:rFonts w:eastAsia="Verdana"/>
      <w:lang w:val="de-DE" w:eastAsia="en-GB"/>
    </w:rPr>
  </w:style>
  <w:style w:type="character" w:customStyle="1" w:styleId="BodytextAgencyChar">
    <w:name w:val="Body text (Agency) Char"/>
    <w:link w:val="BodytextAgency"/>
    <w:locked/>
    <w:rPr>
      <w:rFonts w:ascii="Verdana" w:eastAsia="Verdana" w:hAnsi="Verdana" w:cs="Verdana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Verdana" w:eastAsia="SimSun" w:hAnsi="Verdana" w:cs="Verdana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Verdana" w:eastAsia="SimSun" w:hAnsi="Verdana" w:cs="Verdana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SimSun" w:hAnsi="Tahoma" w:cs="Tahoma"/>
      <w:sz w:val="16"/>
      <w:szCs w:val="16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eastAsia="SimSun" w:hAnsi="Verdana" w:cs="Verdana"/>
      <w:sz w:val="18"/>
      <w:szCs w:val="18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eastAsia="SimSun" w:hAnsi="Verdana" w:cs="Verdana"/>
      <w:sz w:val="18"/>
      <w:szCs w:val="18"/>
      <w:lang w:val="en-GB" w:eastAsia="zh-CN"/>
    </w:rPr>
  </w:style>
  <w:style w:type="paragraph" w:customStyle="1" w:styleId="DoccategoryheadingAgency">
    <w:name w:val="Doc category heading (Agency)"/>
    <w:next w:val="BodytextAgency"/>
    <w:qFormat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</w:rPr>
  </w:style>
  <w:style w:type="paragraph" w:customStyle="1" w:styleId="DocsubtitleAgency">
    <w:name w:val="Doc subtitle (Agency)"/>
    <w:basedOn w:val="Normal"/>
    <w:next w:val="BodytextAgency"/>
    <w:qFormat/>
    <w:pPr>
      <w:spacing w:after="640" w:line="360" w:lineRule="atLeast"/>
    </w:pPr>
    <w:rPr>
      <w:rFonts w:eastAsia="Verdana"/>
      <w:sz w:val="24"/>
      <w:szCs w:val="24"/>
      <w:lang w:val="de-DE" w:eastAsia="en-GB"/>
    </w:rPr>
  </w:style>
  <w:style w:type="paragraph" w:customStyle="1" w:styleId="DoctitleAgency">
    <w:name w:val="Doc title (Agency)"/>
    <w:basedOn w:val="Normal"/>
    <w:next w:val="DocsubtitleAgency"/>
    <w:qFormat/>
    <w:pPr>
      <w:spacing w:before="720" w:line="360" w:lineRule="atLeast"/>
    </w:pPr>
    <w:rPr>
      <w:rFonts w:eastAsia="Verdana"/>
      <w:color w:val="003399"/>
      <w:sz w:val="32"/>
      <w:szCs w:val="32"/>
      <w:lang w:val="de-DE" w:eastAsia="en-GB"/>
    </w:rPr>
  </w:style>
  <w:style w:type="paragraph" w:customStyle="1" w:styleId="DraftingNotesAgency">
    <w:name w:val="Drafting Notes (Agency)"/>
    <w:basedOn w:val="Normal"/>
    <w:next w:val="BodytextAgency"/>
    <w:qFormat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val="de-DE" w:eastAsia="en-GB"/>
    </w:rPr>
  </w:style>
  <w:style w:type="paragraph" w:customStyle="1" w:styleId="Heading1Agency">
    <w:name w:val="Heading 1 (Agency)"/>
    <w:basedOn w:val="Normal"/>
    <w:next w:val="BodytextAgency"/>
    <w:qFormat/>
    <w:pPr>
      <w:keepNext/>
      <w:numPr>
        <w:numId w:val="13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val="de-DE" w:eastAsia="en-GB"/>
    </w:rPr>
  </w:style>
  <w:style w:type="paragraph" w:customStyle="1" w:styleId="Heading2Agency">
    <w:name w:val="Heading 2 (Agency)"/>
    <w:basedOn w:val="Normal"/>
    <w:next w:val="BodytextAgency"/>
    <w:qFormat/>
    <w:pPr>
      <w:keepNext/>
      <w:numPr>
        <w:ilvl w:val="1"/>
        <w:numId w:val="13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val="de-DE" w:eastAsia="en-GB"/>
    </w:rPr>
  </w:style>
  <w:style w:type="paragraph" w:customStyle="1" w:styleId="Heading3Agency">
    <w:name w:val="Heading 3 (Agency)"/>
    <w:basedOn w:val="Normal"/>
    <w:next w:val="BodytextAgency"/>
    <w:qFormat/>
    <w:pPr>
      <w:keepNext/>
      <w:numPr>
        <w:ilvl w:val="2"/>
        <w:numId w:val="13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val="de-DE" w:eastAsia="en-GB"/>
    </w:rPr>
  </w:style>
  <w:style w:type="paragraph" w:customStyle="1" w:styleId="Heading4Agency">
    <w:name w:val="Heading 4 (Agency)"/>
    <w:basedOn w:val="Heading3Agency"/>
    <w:next w:val="BodytextAgency"/>
    <w:qFormat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pPr>
      <w:numPr>
        <w:ilvl w:val="4"/>
      </w:numPr>
      <w:outlineLvl w:val="4"/>
    </w:pPr>
    <w:rPr>
      <w:i w:val="0"/>
    </w:rPr>
  </w:style>
  <w:style w:type="paragraph" w:customStyle="1" w:styleId="No-numheading1Agency">
    <w:name w:val="No-num heading 1 (Agency)"/>
    <w:basedOn w:val="Normal"/>
    <w:next w:val="BodytextAgency"/>
    <w:qFormat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val="de-DE"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val="de-DE" w:eastAsia="en-GB"/>
    </w:rPr>
  </w:style>
  <w:style w:type="paragraph" w:customStyle="1" w:styleId="No-numheading3Agency">
    <w:name w:val="No-num heading 3 (Agency)"/>
    <w:basedOn w:val="Heading3Agency"/>
    <w:next w:val="BodytextAgency"/>
    <w:qFormat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pPr>
      <w:numPr>
        <w:ilvl w:val="0"/>
        <w:numId w:val="0"/>
      </w:numPr>
    </w:pPr>
  </w:style>
  <w:style w:type="paragraph" w:customStyle="1" w:styleId="NormalAgency">
    <w:name w:val="Normal (Agency)"/>
    <w:qFormat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pPr>
      <w:keepNext/>
      <w:spacing w:before="280" w:after="220"/>
    </w:pPr>
    <w:rPr>
      <w:rFonts w:eastAsia="Times New Roman" w:cs="Arial"/>
      <w:b/>
      <w:kern w:val="32"/>
      <w:sz w:val="27"/>
      <w:szCs w:val="27"/>
      <w:lang w:val="de-DE" w:eastAsia="en-GB"/>
    </w:rPr>
  </w:style>
  <w:style w:type="paragraph" w:customStyle="1" w:styleId="SpecialcommentAgency">
    <w:name w:val="Special comment (Agency)"/>
    <w:next w:val="BodytextAgency"/>
    <w:qFormat/>
    <w:rPr>
      <w:rFonts w:ascii="Verdana" w:eastAsia="Times New Roman" w:hAnsi="Verdana"/>
      <w:color w:val="FF0000"/>
      <w:sz w:val="17"/>
      <w:szCs w:val="17"/>
    </w:rPr>
  </w:style>
  <w:style w:type="paragraph" w:styleId="Revision">
    <w:name w:val="Revision"/>
    <w:hidden/>
    <w:uiPriority w:val="99"/>
    <w:semiHidden/>
    <w:rPr>
      <w:rFonts w:ascii="Verdana" w:hAnsi="Verdana" w:cs="Verdana"/>
      <w:sz w:val="18"/>
      <w:szCs w:val="18"/>
      <w:lang w:val="en-GB" w:eastAsia="zh-CN"/>
    </w:rPr>
  </w:style>
  <w:style w:type="paragraph" w:styleId="FootnoteText">
    <w:name w:val="footnote text"/>
    <w:basedOn w:val="Normal"/>
    <w:link w:val="FootnoteTextChar"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Pr>
      <w:rFonts w:ascii="Verdana" w:hAnsi="Verdana" w:cs="Verdana"/>
      <w:lang w:val="en-GB" w:eastAsia="zh-CN"/>
    </w:rPr>
  </w:style>
  <w:style w:type="character" w:styleId="FootnoteReference">
    <w:name w:val="footnote reference"/>
    <w:basedOn w:val="DefaultParagraphFont"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ovartis.laakeinformaatio@novartis.com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finland@accord-healthcare.com" TargetMode="External"/><Relationship Id="rId17" Type="http://schemas.openxmlformats.org/officeDocument/2006/relationships/footer" Target="footer1.xml"/><Relationship Id="rId25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inland.medical-information@roche.com" TargetMode="External"/><Relationship Id="rId24" Type="http://schemas.openxmlformats.org/officeDocument/2006/relationships/customXml" Target="../customXml/item4.xm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23" Type="http://schemas.openxmlformats.org/officeDocument/2006/relationships/customXml" Target="../customXml/item3.xml"/><Relationship Id="rId10" Type="http://schemas.openxmlformats.org/officeDocument/2006/relationships/hyperlink" Target="http://www.fimea.fi/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info.suomi@sandoz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6d3ee3d4-0386-4b93-9e57-c14563358695" value=""/>
  <element uid="7349a702-6462-4442-88eb-c64cd513835c" value=""/>
  <element uid="ba0343df-3220-4244-9388-1298e2abc028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B399A97C01441AFCDC52311FF4E14" ma:contentTypeVersion="8" ma:contentTypeDescription="Create a new document." ma:contentTypeScope="" ma:versionID="ada3c71db011dbc6b85dc954585baadc">
  <xsd:schema xmlns:xsd="http://www.w3.org/2001/XMLSchema" xmlns:xs="http://www.w3.org/2001/XMLSchema" xmlns:p="http://schemas.microsoft.com/office/2006/metadata/properties" xmlns:ns1="http://schemas.microsoft.com/sharepoint/v3" xmlns:ns2="6ae3d0d0-f889-4055-80a8-1904662384a8" xmlns:ns3="f191ad30-9ade-4f0c-b78e-cf30469879ae" targetNamespace="http://schemas.microsoft.com/office/2006/metadata/properties" ma:root="true" ma:fieldsID="22d9538907e9eb24dd7d991c3831a5b2" ns1:_="" ns2:_="" ns3:_="">
    <xsd:import namespace="http://schemas.microsoft.com/sharepoint/v3"/>
    <xsd:import namespace="6ae3d0d0-f889-4055-80a8-1904662384a8"/>
    <xsd:import namespace="f191ad30-9ade-4f0c-b78e-cf30469879a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3:TaxCatchAll" minOccurs="0"/>
                <xsd:element ref="ns1:_dlc_ExpireDateSaved" minOccurs="0"/>
                <xsd:element ref="ns1:_dlc_ExpireDate" minOccurs="0"/>
                <xsd:element ref="ns1:_dlc_Exempt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  <xsd:element name="_vti_ItemDeclaredRecord" ma:index="14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5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3d0d0-f889-4055-80a8-1904662384a8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cb3b16da-6438-44a9-840c-73f1ed966cc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1ad30-9ade-4f0c-b78e-cf30469879a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4b3861f-63e2-43f1-b766-455087de1b4d}" ma:internalName="TaxCatchAll" ma:showField="CatchAllData" ma:web="6ae3d0d0-f889-4055-80a8-190466238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91ad30-9ade-4f0c-b78e-cf30469879ae"/>
    <_dlc_ExpireDate xmlns="http://schemas.microsoft.com/sharepoint/v3">2028-12-02T23:00:00+00:00</_dlc_ExpireDate>
    <TaxKeywordTaxHTField xmlns="6ae3d0d0-f889-4055-80a8-1904662384a8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398546C2-D7DF-46CF-9472-FC782987EDEA}"/>
</file>

<file path=customXml/itemProps2.xml><?xml version="1.0" encoding="utf-8"?>
<ds:datastoreItem xmlns:ds="http://schemas.openxmlformats.org/officeDocument/2006/customXml" ds:itemID="{00D7DECD-7D70-4E85-AB3D-43D127F09450}"/>
</file>

<file path=customXml/itemProps3.xml><?xml version="1.0" encoding="utf-8"?>
<ds:datastoreItem xmlns:ds="http://schemas.openxmlformats.org/officeDocument/2006/customXml" ds:itemID="{CCCB7387-4B84-4A87-AF38-2898F2881B97}"/>
</file>

<file path=customXml/itemProps4.xml><?xml version="1.0" encoding="utf-8"?>
<ds:datastoreItem xmlns:ds="http://schemas.openxmlformats.org/officeDocument/2006/customXml" ds:itemID="{F45CCCC5-2F81-48FC-A44F-0A0FAA91E347}"/>
</file>

<file path=customXml/itemProps5.xml><?xml version="1.0" encoding="utf-8"?>
<ds:datastoreItem xmlns:ds="http://schemas.openxmlformats.org/officeDocument/2006/customXml" ds:itemID="{D85D5C6D-4A05-409D-9706-5738C9431D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5254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2018-01-05T09:26:00Z</dcterms:created>
  <dcterms:modified xsi:type="dcterms:W3CDTF">2018-01-05T09:29:00Z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Modified_Date">
    <vt:lpwstr>20/07/2017 11:18:03</vt:lpwstr>
  </property>
  <property fmtid="{D5CDD505-2E9C-101B-9397-08002B2CF9AE}" pid="3" name="TaxKeyword">
    <vt:lpwstr/>
  </property>
  <property fmtid="{D5CDD505-2E9C-101B-9397-08002B2CF9AE}" pid="4" name="DM_Modifer_Name">
    <vt:lpwstr>Medar Karin</vt:lpwstr>
  </property>
  <property fmtid="{D5CDD505-2E9C-101B-9397-08002B2CF9AE}" pid="5" name="DM_Version">
    <vt:lpwstr>CURRENT,1.0</vt:lpwstr>
  </property>
  <property fmtid="{D5CDD505-2E9C-101B-9397-08002B2CF9AE}" pid="6" name="_dlc_policyId">
    <vt:lpwstr>/team/2012420b/Active Products</vt:lpwstr>
  </property>
  <property fmtid="{D5CDD505-2E9C-101B-9397-08002B2CF9AE}" pid="7" name="DM_emea_doc_ref_id">
    <vt:lpwstr>EMA/463461/2017</vt:lpwstr>
  </property>
  <property fmtid="{D5CDD505-2E9C-101B-9397-08002B2CF9AE}" pid="8" name="DM_Category">
    <vt:lpwstr>General</vt:lpwstr>
  </property>
  <property fmtid="{D5CDD505-2E9C-101B-9397-08002B2CF9AE}" pid="9" name="ContentTypeId">
    <vt:lpwstr>0x010100750B399A97C01441AFCDC52311FF4E14</vt:lpwstr>
  </property>
  <property fmtid="{D5CDD505-2E9C-101B-9397-08002B2CF9AE}" pid="10" name="DM_DocRefId">
    <vt:lpwstr>EMA/463461/2017</vt:lpwstr>
  </property>
  <property fmtid="{D5CDD505-2E9C-101B-9397-08002B2CF9AE}" pid="11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12" name="bjDocumentSecurityLabel">
    <vt:lpwstr>Confidential - Compliance</vt:lpwstr>
  </property>
  <property fmtid="{D5CDD505-2E9C-101B-9397-08002B2CF9AE}" pid="13" name="DM_Modify_Date">
    <vt:lpwstr>20/07/2017 11:18:03</vt:lpwstr>
  </property>
  <property fmtid="{D5CDD505-2E9C-101B-9397-08002B2CF9AE}" pid="14" name="DM_Path">
    <vt:lpwstr>/01. Evaluation of Medicines/H-C/A-C/Aranesp-000332/05 Post Authorisation/Post Activities/2017-xx-xx-332-II-0141/03. Opinion</vt:lpwstr>
  </property>
  <property fmtid="{D5CDD505-2E9C-101B-9397-08002B2CF9AE}" pid="15" name="DM_Creation_Date">
    <vt:lpwstr>19/07/2017 18:11:49</vt:lpwstr>
  </property>
  <property fmtid="{D5CDD505-2E9C-101B-9397-08002B2CF9AE}" pid="16" name="DM_Type">
    <vt:lpwstr>emea_document</vt:lpwstr>
  </property>
  <property fmtid="{D5CDD505-2E9C-101B-9397-08002B2CF9AE}" pid="17" name="docIndexRef">
    <vt:lpwstr>9c86d939-aaaf-4b36-9615-53a18f373ff2</vt:lpwstr>
  </property>
  <property fmtid="{D5CDD505-2E9C-101B-9397-08002B2CF9AE}" pid="18" name="bjSaver">
    <vt:lpwstr>Lhe527FwczYvsmBRxZjtIJiMubGWxAa3</vt:lpwstr>
  </property>
  <property fmtid="{D5CDD505-2E9C-101B-9397-08002B2CF9AE}" pid="19" name="ItemRetentionFormula">
    <vt:lpwstr>&lt;formula id="Roche.Common.Coremap.ExpirationFormula" /&gt;</vt:lpwstr>
  </property>
  <property fmtid="{D5CDD505-2E9C-101B-9397-08002B2CF9AE}" pid="20" name="bjDocumentLabelXML-0">
    <vt:lpwstr>ames.com/2008/01/sie/internal/label"&gt;&lt;element uid="6d3ee3d4-0386-4b93-9e57-c14563358695" value="" /&gt;&lt;element uid="7349a702-6462-4442-88eb-c64cd513835c" value="" /&gt;&lt;element uid="ba0343df-3220-4244-9388-1298e2abc028" value="" /&gt;&lt;/sisl&gt;</vt:lpwstr>
  </property>
  <property fmtid="{D5CDD505-2E9C-101B-9397-08002B2CF9AE}" pid="21" name="DM_Name">
    <vt:lpwstr>Epoetins - DHPC </vt:lpwstr>
  </property>
  <property fmtid="{D5CDD505-2E9C-101B-9397-08002B2CF9AE}" pid="22" name="DM_Modifier_Name">
    <vt:lpwstr>Medar Karin</vt:lpwstr>
  </property>
  <property fmtid="{D5CDD505-2E9C-101B-9397-08002B2CF9AE}" pid="23" name="DM_Creator_Name">
    <vt:lpwstr>Aicardo Carlos</vt:lpwstr>
  </property>
</Properties>
</file>